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/>
    <w:p/>
    <w:p/>
    <w:p/>
    <w:p/>
    <w:p>
      <w:pPr>
        <w:jc w:val="center"/>
      </w:pPr>
      <w:r>
        <w:rPr>
          <w:rStyle w:val="oneUserDefinedStyle"/>
        </w:rPr>
        <w:t xml:space="preserve">Viaje exprés por Los Ángeles</w:t>
      </w:r>
    </w:p>
    <w:p>
      <w:pPr>
        <w:jc w:val="center"/>
      </w:pPr>
      <w:r>
        <w:rPr>
          <w:rStyle w:val="oneUserDefinedStyle2"/>
        </w:rPr>
        <w:t xml:space="preserve">4 días / 3 noches</w:t>
      </w:r>
    </w:p>
    <w:p/>
    <w:p>
      <w:pPr>
        <w:jc w:val="center"/>
      </w:pPr>
      <w:r>
        <w:rPr>
          <w:rFonts w:ascii="Tahoma" w:hAnsi="Tahoma" w:eastAsia="Tahoma" w:cs="Tahoma"/>
          <w:color w:val="CA1313"/>
          <w:sz w:val="24"/>
          <w:szCs w:val="24"/>
          <w:b w:val="1"/>
          <w:bCs w:val="1"/>
        </w:rPr>
        <w:t xml:space="preserve">Desde: USD 1,319 Por persona en base a habitación doble</w:t>
      </w:r>
    </w:p>
    <w:p/>
    <w:p/>
    <w:p/>
    <w:p/>
    <w:p>
      <w:pPr>
        <w:jc w:val="center"/>
      </w:pPr>
      <w:r>
        <w:rPr/>
        <w:t xml:space="preserve">Este programa te llevará a conocer los principales atractivos turísticos de Los Ángeles, incluyendo la zona central, Hollywood y Beverly Hills.</w:t>
      </w:r>
    </w:p>
    <w:p/>
    <w:p>
      <w:pPr/>
      <w:r>
        <w:pict>
          <v:shape type="#_x0000_t75" stroked="f" style="width:450pt; height:250pt; margin-left:0pt; margin-top:20pt; mso-position-horizontal:left; mso-position-vertical:top; mso-position-horizontal-relative:char; mso-position-vertical-relative:line;">
            <w10:wrap type="square"/>
            <v:imagedata r:id="rId7" o:title=""/>
          </v:shape>
        </w:pict>
      </w:r>
    </w:p>
    <w:p/>
    <w:p>
      <w:r>
        <w:br w:type="page"/>
      </w:r>
    </w:p>
    <w:p/>
    <w:p>
      <w:pPr/>
      <w:r>
        <w:rPr>
          <w:rStyle w:val="oneUserDefinedStyle2"/>
        </w:rPr>
        <w:t xml:space="preserve">Día: 1 - 4 | Destino: Los Ángeles</w:t>
      </w:r>
    </w:p>
    <w:p>
      <w:hyperlink r:id="rId8" w:history="1">
        <w:r>
          <w:rPr>
            <w:rStyle w:val="oneUserDefinedStyle4"/>
          </w:rPr>
          <w:t xml:space="preserve">Ver más</w:t>
        </w:r>
      </w:hyperlink>
    </w:p>
    <w:p/>
    <w:p>
      <w:pPr/>
      <w:r>
        <w:rPr/>
        <w:t xml:space="preserve">Durante cuatro días, recorrerás las calles de Los Ángeles, ciudad que combina el mundo del cine, los lujos y hermosas playas para relajarte en tus vacaciones.</w:t>
      </w:r>
    </w:p>
    <w:p/>
    <w:p>
      <w:pPr/>
      <w:r>
        <w:rPr>
          <w:rStyle w:val="oneUserDefinedStyle3"/>
        </w:rPr>
        <w:t xml:space="preserve">Hoteles sugeridos</w:t>
      </w:r>
    </w:p>
    <w:p/>
    <w:tbl>
      <w:tblGrid>
        <w:gridCol/>
        <w:gridCol/>
      </w:tblGrid>
      <w:tblPr>
        <w:tblStyle w:val="myTable"/>
      </w:tblPr>
      <w:tr>
        <w:trPr>
          <w:trHeight w:val="1" w:hRule="atLeast"/>
        </w:trPr>
        <w:tc>
          <w:tcPr/>
          <w:p>
            <w:pPr/>
            <w:r>
              <w:pict>
                <v:shape type="#_x0000_t75" stroked="f" style="width:160pt; height:100pt; margin-left:0pt; margin-top:0pt; mso-position-horizontal:left; mso-position-vertical:top; mso-position-horizontal-relative:char; mso-position-vertical-relative:line;">
                  <w10:wrap type="square"/>
                  <v:imagedata r:id="rId9" o:title=""/>
                </v:shape>
              </w:pict>
            </w:r>
          </w:p>
        </w:tc>
        <w:tc>
          <w:tcPr/>
          <w:p>
            <w:pPr/>
            <w:r>
              <w:rPr>
                <w:rStyle w:val="oneUserDefinedStyle3"/>
              </w:rPr>
              <w:t xml:space="preserve">The Carlyle Inn</w:t>
            </w:r>
          </w:p>
          <w:p>
            <w:hyperlink r:id="rId10" w:history="1">
              <w:r>
                <w:rPr>
                  <w:rStyle w:val="oneUserDefinedStyle4"/>
                </w:rPr>
                <w:t xml:space="preserve">Ver más</w:t>
              </w:r>
            </w:hyperlink>
          </w:p>
          <w:p/>
          <w:p>
            <w:pPr/>
            <w:r>
              <w:rPr/>
              <w:t xml:space="preserve">Ubicado a 10 minutos de Beverly Hills, Carlyle Inn ofrece un equilibrio perfecto entre comodidad, estilo y hospitalidad.</w:t>
            </w:r>
          </w:p>
        </w:tc>
      </w:tr>
    </w:tbl>
    <w:p/>
    <w:p>
      <w:pPr/>
      <w:r>
        <w:rPr>
          <w:rStyle w:val="oneUserDefinedStyle3"/>
        </w:rPr>
        <w:t xml:space="preserve">Actividades</w:t>
      </w:r>
    </w:p>
    <w:p/>
    <w:tbl>
      <w:tblGrid>
        <w:gridCol/>
        <w:gridCol/>
      </w:tblGrid>
      <w:tblPr>
        <w:tblStyle w:val="myTable"/>
      </w:tblPr>
      <w:tr>
        <w:trPr>
          <w:trHeight w:val="1" w:hRule="atLeast"/>
        </w:trPr>
        <w:tc>
          <w:tcPr/>
          <w:p>
            <w:pPr/>
            <w:r>
              <w:pict>
                <v:shape type="#_x0000_t75" stroked="f" style="width:160pt; height:100pt; margin-left:0pt; margin-top:0pt; mso-position-horizontal:left; mso-position-vertical:top; mso-position-horizontal-relative:char; mso-position-vertical-relative:line;">
                  <w10:wrap type="square"/>
                  <v:imagedata r:id="rId11" o:title=""/>
                </v:shape>
              </w:pict>
            </w:r>
          </w:p>
        </w:tc>
        <w:tc>
          <w:tcPr/>
          <w:p>
            <w:pPr/>
            <w:r>
              <w:rPr>
                <w:rStyle w:val="oneUserDefinedStyle3"/>
              </w:rPr>
              <w:t xml:space="preserve">City tour por Los Ángeles</w:t>
            </w:r>
          </w:p>
          <w:p>
            <w:hyperlink r:id="rId12" w:history="1">
              <w:r>
                <w:rPr>
                  <w:rStyle w:val="oneUserDefinedStyle4"/>
                </w:rPr>
                <w:t xml:space="preserve">Ver más</w:t>
              </w:r>
            </w:hyperlink>
          </w:p>
          <w:p/>
          <w:p>
            <w:pPr/>
            <w:r>
              <w:rPr/>
              <w:t xml:space="preserve">Desde los clásicos del centro de la ciudad, conocerás también los principales atractivos de Hollywood y las mansiones de Beverly Hills.</w:t>
            </w:r>
          </w:p>
        </w:tc>
      </w:tr>
    </w:tbl>
    <w:p/>
    <w:p/>
    <w:p>
      <w:pPr/>
      <w:r>
        <w:rPr>
          <w:rStyle w:val="oneUserDefinedStyle3"/>
        </w:rPr>
        <w:t xml:space="preserve">Día: 1</w:t>
      </w:r>
    </w:p>
    <w:p>
      <w:pPr/>
      <w:r>
        <w:rPr/>
        <w:t xml:space="preserve">Descripción: LLEGADA A LOS ÁNGELES
Te estaremos esperando en el aeropuerto de Los Ángeles para llevarte a tu hotel. Una vez allí, podrás hacer check in y disfrutar del resto del día libre para explorar la ciudad a tu ritmo.
*** Check in empieza a las 16:00 horas. En caso de llegar más temprano, es posible guardar tu equipaje en el hotel y aprovechar la ciudad hasta que tu habitación esté lista.</w:t>
      </w:r>
    </w:p>
    <w:p/>
    <w:p/>
    <w:p>
      <w:pPr/>
      <w:r>
        <w:rPr>
          <w:rStyle w:val="oneUserDefinedStyle3"/>
        </w:rPr>
        <w:t xml:space="preserve">Día: 2</w:t>
      </w:r>
    </w:p>
    <w:p>
      <w:pPr/>
      <w:r>
        <w:rPr/>
        <w:t xml:space="preserve">Descripción: VISITA A LA CIUDAD DE LOS ÁNGELES
Después del desayuno, pasaremos a buscarte al hotel para salir a conocer la ciudad de Los Ángeles, desde sus rincones más clásicos hasta los lujos de Hollywood y Beverly Hills.</w:t>
      </w:r>
    </w:p>
    <w:p/>
    <w:p/>
    <w:p>
      <w:pPr/>
      <w:r>
        <w:rPr>
          <w:rStyle w:val="oneUserDefinedStyle3"/>
        </w:rPr>
        <w:t xml:space="preserve">Día: 3</w:t>
      </w:r>
    </w:p>
    <w:p>
      <w:pPr/>
      <w:r>
        <w:rPr/>
        <w:t xml:space="preserve">Descripción: DIA LIBRE
Aprovecha tu día libre para disfrutar las exquisitas playas de la zona como Venice Beach, Santa Mónica o la exclusiva zona de Malibú. ¡Y luego te puedes ir de compras!</w:t>
      </w:r>
    </w:p>
    <w:p/>
    <w:p/>
    <w:p>
      <w:pPr/>
      <w:r>
        <w:rPr>
          <w:rStyle w:val="oneUserDefinedStyle3"/>
        </w:rPr>
        <w:t xml:space="preserve">Día: 4</w:t>
      </w:r>
    </w:p>
    <w:p>
      <w:pPr/>
      <w:r>
        <w:rPr/>
        <w:t xml:space="preserve">Descripción: TRASLADO AL AEROPUERTO
A la hora acordada te pasaremos a buscar a tu hotel para llevarte al aeropuerto de Los Ángeles, donde podrás tomar el vuelo a tu siguiente destino.</w:t>
      </w:r>
    </w:p>
    <w:p/>
    <w:p>
      <w:r>
        <w:br w:type="page"/>
      </w:r>
    </w:p>
    <w:p>
      <w:pPr/>
      <w:r>
        <w:rPr>
          <w:rStyle w:val="oneUserDefinedStyle2"/>
        </w:rPr>
        <w:t xml:space="preserve">Tarifas</w:t>
      </w:r>
    </w:p>
    <w:p/>
    <w:p>
      <w:pPr/>
      <w:r>
        <w:rPr>
          <w:rStyle w:val="oneUserDefinedStyle3"/>
        </w:rPr>
        <w:t xml:space="preserve">PRECIOS POR PASAJEROS, EXPRESADOS EN DÓLARES AMERICANOS</w:t>
      </w:r>
    </w:p>
    <w:p/>
    <w:tbl>
      <w:tblGrid>
        <w:gridCol/>
        <w:gridCol/>
        <w:gridCol/>
        <w:gridCol/>
        <w:gridCol/>
        <w:gridCol/>
        <w:gridCol/>
        <w:gridCol/>
      </w:tblGrid>
      <w:tblPr>
        <w:tblStyle w:val="myTablerates"/>
      </w:tblPr>
      <w:tr>
        <w:trPr>
          <w:trHeight w:val="1" w:hRule="atLeast"/>
        </w:trPr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Hotel previsto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Vigencia 2024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Single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Doble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Twin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Triple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Cuád.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color w:val="1F497D"/>
                <w:sz w:val="18"/>
                <w:szCs w:val="18"/>
                <w:b w:val="1"/>
                <w:bCs w:val="1"/>
              </w:rPr>
              <w:t xml:space="preserve">Niño (Hasta 12 años)</w:t>
            </w:r>
          </w:p>
        </w:tc>
      </w:tr>
      <w:tr>
        <w:trPr>
          <w:trHeight w:val="1" w:hRule="atLeast"/>
        </w:trPr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The Carlyle Inn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Del 1 de febrero al 4 de julio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2.636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1.319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1.411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986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799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733</w:t>
            </w:r>
          </w:p>
        </w:tc>
      </w:tr>
      <w:tr>
        <w:trPr>
          <w:trHeight w:val="1" w:hRule="atLeast"/>
        </w:trPr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The Carlyle Inn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Del 5 de julio al 14 de agosto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2.824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1.411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1.505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1.048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846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733</w:t>
            </w:r>
          </w:p>
        </w:tc>
      </w:tr>
      <w:tr>
        <w:trPr>
          <w:trHeight w:val="1" w:hRule="atLeast"/>
        </w:trPr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The Carlyle Inn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Del 15 de agosto al 18 de diciembre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2.636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1.319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1.411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986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799</w:t>
            </w:r>
          </w:p>
        </w:tc>
        <w:tc>
          <w:tcPr/>
          <w:p>
            <w:pPr/>
            <w:r>
              <w:rPr>
                <w:rFonts w:ascii="Tahoma" w:hAnsi="Tahoma" w:eastAsia="Tahoma" w:cs="Tahoma"/>
                <w:sz w:val="18"/>
                <w:szCs w:val="18"/>
                <w:b w:val="0"/>
                <w:bCs w:val="0"/>
              </w:rPr>
              <w:t xml:space="preserve">733</w:t>
            </w:r>
          </w:p>
        </w:tc>
      </w:tr>
    </w:tbl>
    <w:p/>
    <w:p>
      <w:pPr/>
      <w:r>
        <w:rPr>
          <w:rStyle w:val="oneUserDefinedStyle2"/>
        </w:rPr>
        <w:t xml:space="preserve">Incluye</w:t>
      </w:r>
    </w:p>
    <w:p/>
    <w:p>
      <w:pPr/>
      <w:r>
        <w:rPr/>
        <w:t xml:space="preserve"/>
      </w:r>
    </w:p>
    <w:p>
      <w:pPr/>
      <w:r>
        <w:rPr/>
        <w:t xml:space="preserve">Traslado aeropuerto / hotel / aeropuerto en servicio privado</w:t>
      </w:r>
    </w:p>
    <w:p>
      <w:pPr/>
      <w:r>
        <w:rPr/>
        <w:t xml:space="preserve">3 noches en Los Ángeles</w:t>
      </w:r>
    </w:p>
    <w:p>
      <w:pPr/>
      <w:r>
        <w:rPr/>
        <w:t xml:space="preserve">City tour en español en servicio privado</w:t>
      </w:r>
    </w:p>
    <w:p>
      <w:pPr/>
      <w:r>
        <w:rPr/>
        <w:t xml:space="preserve">Impuestos hoteleros</w:t>
      </w:r>
    </w:p>
    <w:p/>
    <w:p>
      <w:pPr/>
      <w:r>
        <w:rPr>
          <w:rStyle w:val="oneUserDefinedStyle2"/>
        </w:rPr>
        <w:t xml:space="preserve">No incluye</w:t>
      </w:r>
    </w:p>
    <w:p/>
    <w:p>
      <w:pPr/>
      <w:r>
        <w:rPr/>
        <w:t xml:space="preserve"/>
      </w:r>
    </w:p>
    <w:p>
      <w:pPr/>
      <w:r>
        <w:rPr/>
        <w:t xml:space="preserve">Pasajes aéreos nacionales e internacionales</w:t>
      </w:r>
    </w:p>
    <w:p>
      <w:pPr/>
      <w:r>
        <w:rPr/>
        <w:t xml:space="preserve">Gastos personales, bebidas ni comidas no mencionadas</w:t>
      </w:r>
    </w:p>
    <w:p>
      <w:pPr/>
      <w:r>
        <w:rPr/>
        <w:t xml:space="preserve">Propinas para el conductor y el guía</w:t>
      </w:r>
    </w:p>
    <w:p>
      <w:pPr/>
      <w:r>
        <w:rPr/>
        <w:t xml:space="preserve">Facility fee a pagar directo en el hotel</w:t>
      </w:r>
    </w:p>
    <w:p>
      <w:pPr/>
      <w:r>
        <w:rPr/>
        <w:t xml:space="preserve">Todo lo no mencionado en el incluye</w:t>
      </w:r>
    </w:p>
    <w:p/>
    <w:p>
      <w:pPr/>
      <w:r>
        <w:rPr>
          <w:rStyle w:val="oneUserDefinedStyle2"/>
        </w:rPr>
        <w:t xml:space="preserve">Notas importantes</w:t>
      </w:r>
    </w:p>
    <w:p/>
    <w:p>
      <w:pPr/>
      <w:r>
        <w:rPr/>
        <w:t xml:space="preserve"/>
      </w:r>
    </w:p>
    <w:p>
      <w:pPr/>
      <w:r>
        <w:rPr/>
        <w:t xml:space="preserve">Programa válido para reservas y compras hasta 30 días antes de la llegada al hotel. Se pueden agregar cierres de venta a cualquier momento.</w:t>
      </w:r>
    </w:p>
    <w:p>
      <w:pPr/>
      <w:r>
        <w:rPr/>
        <w:t xml:space="preserve">Tarifa de niño aplica para menores de hasta 12 años compartiendo habitación con dos adultos en camas existentes.</w:t>
      </w:r>
    </w:p>
    <w:p>
      <w:pPr/>
      <w:r>
        <w:rPr/>
        <w:t xml:space="preserve">Tarifa en habitación single y doble es en base a una cama y en habitaciones twin, triple y cuádruple es en base a dos camas.</w:t>
      </w:r>
    </w:p>
    <w:p>
      <w:pPr/>
      <w:r>
        <w:rPr/>
        <w:t xml:space="preserve">Programa no incluye Facility fee de US$ 34 por noche por habitación más tasas, este debe ser pagado directamente por el pasajero al momento del check in.</w:t>
      </w:r>
    </w:p>
    <w:p>
      <w:pPr/>
      <w:r>
        <w:rPr/>
        <w:t xml:space="preserve">Traslados de llegada/salida aplican para hoteles en las zonas de Los Ángeles, Long Beach, Anaheim (Disneyland) o San Pedro.  </w:t>
      </w:r>
    </w:p>
    <w:p>
      <w:pPr/>
      <w:r>
        <w:rPr/>
        <w:t xml:space="preserve">En caso de que sea necesario por temas de eventos, cierres de venta, disponibilidad o algún otro inconveniente, se utilizará un hotel de categoría similar.</w:t>
      </w:r>
    </w:p>
    <w:p>
      <w:pPr/>
      <w:r>
        <w:rPr/>
        <w:t xml:space="preserve">Todos los tours están sujetos a cambios (días de operación, pick up, horarios). En caso de que algún tour no esté disponible en el momento del viaje, se ofrecerá otra opción o el reembolso del servicios.</w:t>
      </w:r>
    </w:p>
    <w:p>
      <w:pPr/>
      <w:r>
        <w:rPr/>
        <w:t xml:space="preserve">Para cancelaciones entre 15 a 7 días antes del inicio del viaje, el proveedor local cobrará el valor equivalente al 50% de la reserva, y cancelaciones entre 6 a 0 días antes del inicio del viaje o no presentación, se cobrará el valor total de la reserva.</w:t>
      </w:r>
    </w:p>
    <w:p/>
    <w:p>
      <w:pPr/>
      <w:r>
        <w:rPr>
          <w:rStyle w:val="oneUserDefinedStyle2"/>
        </w:rPr>
        <w:t xml:space="preserve">Notas generales</w:t>
      </w:r>
    </w:p>
    <w:p/>
    <w:p>
      <w:pPr/>
      <w:r>
        <w:rPr/>
        <w:t xml:space="preserve"/>
      </w:r>
    </w:p>
    <w:p>
      <w:pPr/>
      <w:r>
        <w:rPr/>
        <w:t xml:space="preserve">Los valores publicados son por persona en base habitación doble, para un mínimo de dos pasajeros viajando juntos.</w:t>
      </w:r>
    </w:p>
    <w:p>
      <w:pPr/>
      <w:r>
        <w:rPr/>
        <w:t xml:space="preserve">Los valores publicados son en dólares americanos.</w:t>
      </w:r>
    </w:p>
    <w:p>
      <w:pPr/>
      <w:r>
        <w:rPr/>
        <w:t xml:space="preserve">Las habitaciones son consideradas bajo la categoría estándar de cada hotel. Consulta el valor y disponibilidad de categorías superiores.</w:t>
      </w:r>
    </w:p>
    <w:p>
      <w:pPr/>
      <w:r>
        <w:rPr/>
        <w:t xml:space="preserve">Los hoteles publicados se encuentran sujetos a confirmación. En caso de no haber disponibilidad, se ofrecerá un hotel de categoría similar.</w:t>
      </w:r>
    </w:p>
    <w:p>
      <w:pPr/>
      <w:r>
        <w:rPr/>
        <w:t xml:space="preserve">La clasificación de todos los hoteles previstos se rige según las normas del Ministerio de Turismo.</w:t>
      </w:r>
    </w:p>
    <w:p>
      <w:pPr/>
      <w:r>
        <w:rPr/>
        <w:t xml:space="preserve">El orden de las paradas y lugares a visitar está sujeto a cambio según las circunstancias.</w:t>
      </w:r>
    </w:p>
    <w:p>
      <w:pPr/>
      <w:r>
        <w:rPr/>
        <w:t xml:space="preserve">Se reserva el derecho a modificar las tarifas de acuerdo a las fluctuaciones de la moneda local.</w:t>
      </w:r>
    </w:p>
    <w:p>
      <w:pPr/>
      <w:r>
        <w:rPr/>
        <w:t xml:space="preserve">El programa no incluye: vuelos nacionales ni internacionales; visados ni trámites asociados; comidas no mencionadas; bebidas; tours, actividades y visitas no mencionadas en el incluye; servicios extra ni gastos personales; propinas.</w:t>
      </w:r>
    </w:p>
    <w:p>
      <w:pPr/>
      <w:r>
        <w:rPr/>
        <w:t xml:space="preserve">Las tasas hoteleras se deben pagar en el destino.</w:t>
      </w:r>
    </w:p>
    <w:p>
      <w:pPr/>
      <w:r>
        <w:rPr/>
        <w:t xml:space="preserve">El valor del programa está sujeto a sobrecargos en temporadas altas, cenas obligatorias, Navidad, fin de año, etcétera.</w:t>
      </w:r>
    </w:p>
    <w:p>
      <w:pPr/>
      <w:r>
        <w:rPr/>
        <w:t xml:space="preserve">Las tarifas publicadas no son válidas para feriados locales, eventos ni fechas de congresos en el destino.</w:t>
      </w:r>
    </w:p>
    <w:p>
      <w:pPr/>
      <w:r>
        <w:rPr/>
        <w:t xml:space="preserve">Las tarifas están sujetas a disponibilidad al momento de realizar la reserva y pueden sufrir cambios sin previo aviso.</w:t>
      </w:r>
    </w:p>
    <w:p>
      <w:pPr/>
      <w:r>
        <w:rPr/>
        <w:t xml:space="preserve">Es responsabilidad de los pasajeros tener los documentos necesarios para realizar su viaje, tales como: pasaporte vigente según fecha de expiración requerida por los países visitados, permisos notariales y certificado de nacimiento o libreta de familia para menores de edad, cédula de identidad vigente, visas, vacunas u otras exigencias.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oneUserDefinedStyle"/>
    <w:rPr>
      <w:rFonts w:ascii="Tahoma" w:hAnsi="Tahoma" w:eastAsia="Tahoma" w:cs="Tahoma"/>
      <w:color w:val="1F497D"/>
      <w:sz w:val="40"/>
      <w:szCs w:val="40"/>
      <w:b w:val="1"/>
      <w:bCs w:val="1"/>
    </w:rPr>
  </w:style>
  <w:style w:type="character">
    <w:name w:val="oneUserDefinedStyle2"/>
    <w:rPr>
      <w:rFonts w:ascii="Tahoma" w:hAnsi="Tahoma" w:eastAsia="Tahoma" w:cs="Tahoma"/>
      <w:color w:val="1F497D"/>
      <w:sz w:val="32"/>
      <w:szCs w:val="32"/>
      <w:b w:val="1"/>
      <w:bCs w:val="1"/>
    </w:rPr>
  </w:style>
  <w:style w:type="character">
    <w:name w:val="oneUserDefinedStyle3"/>
    <w:rPr>
      <w:rFonts w:ascii="Tahoma" w:hAnsi="Tahoma" w:eastAsia="Tahoma" w:cs="Tahoma"/>
      <w:color w:val="1B2232"/>
      <w:sz w:val="26"/>
      <w:szCs w:val="26"/>
      <w:b w:val="1"/>
      <w:bCs w:val="1"/>
    </w:rPr>
  </w:style>
  <w:style w:type="character">
    <w:name w:val="oneUserDefinedStyle4"/>
    <w:rPr>
      <w:rFonts w:ascii="Tahoma" w:hAnsi="Tahoma" w:eastAsia="Tahoma" w:cs="Tahoma"/>
      <w:color w:val="CA1313"/>
      <w:sz w:val="24"/>
      <w:szCs w:val="24"/>
      <w:b w:val="0"/>
      <w:bCs w:val="0"/>
    </w:rPr>
  </w:style>
  <w:style w:type="table" w:customStyle="1" w:styleId="myTable">
    <w:name w:val="myTable"/>
    <w:uiPriority w:val="99"/>
    <w:tblPr>
      <w:tblW w:w="0" w:type="auto"/>
      <w:tblLayout w:type="autofit"/>
      <w:bidiVisual w:val="0"/>
      <w:tblCellMar>
        <w:top w:w="50" w:type="dxa"/>
        <w:left w:w="50" w:type="dxa"/>
        <w:right w:w="50" w:type="dxa"/>
        <w:bottom w:w="50" w:type="dxa"/>
      </w:tblCellMar>
      <w:tblBorders>
        <w:top w:val="single" w:sz="1" w:color="006699"/>
        <w:left w:val="single" w:sz="1" w:color="006699"/>
        <w:right w:val="single" w:sz="1" w:color="006699"/>
        <w:bottom w:val="single" w:sz="1" w:color="006699"/>
        <w:insideH w:val="single" w:sz="1" w:color="006699"/>
        <w:insideV w:val="single" w:sz="1" w:color="006699"/>
      </w:tblBorders>
    </w:tblPr>
  </w:style>
  <w:style w:type="table" w:customStyle="1" w:styleId="myTableagency">
    <w:name w:val="myTableagency"/>
    <w:uiPriority w:val="99"/>
    <w:tblPr>
      <w:tblW w:w="0" w:type="auto"/>
      <w:tblLayout w:type="autofit"/>
      <w:bidiVisual w:val="0"/>
      <w:tblCellMar>
        <w:top w:w="50" w:type="dxa"/>
        <w:left w:w="50" w:type="dxa"/>
        <w:right w:w="50" w:type="dxa"/>
        <w:bottom w:w="50" w:type="dxa"/>
      </w:tblCellMar>
      <w:tblBorders>
        <w:top w:val="single" w:sz="1" w:color="006699"/>
        <w:left w:val="single" w:sz="1" w:color="006699"/>
        <w:right w:val="single" w:sz="1" w:color="006699"/>
        <w:bottom w:val="single" w:sz="1" w:color="006699"/>
        <w:insideH w:val="single" w:sz="1" w:color="006699"/>
        <w:insideV w:val="single" w:sz="1" w:color="006699"/>
      </w:tblBorders>
    </w:tblPr>
  </w:style>
  <w:style w:type="table" w:customStyle="1" w:styleId="myTablerates">
    <w:name w:val="myTablerates"/>
    <w:uiPriority w:val="99"/>
    <w:tblPr>
      <w:tblW w:w="0" w:type="auto"/>
      <w:tblLayout w:type="autofit"/>
      <w:bidiVisual w:val="0"/>
      <w:tblCellMar>
        <w:top w:w="50" w:type="dxa"/>
        <w:left w:w="50" w:type="dxa"/>
        <w:right w:w="50" w:type="dxa"/>
        <w:bottom w:w="50" w:type="dxa"/>
      </w:tblCellMar>
      <w:tblBorders>
        <w:top w:val="single" w:sz="1" w:color="006699"/>
        <w:left w:val="single" w:sz="1" w:color="006699"/>
        <w:right w:val="single" w:sz="1" w:color="006699"/>
        <w:bottom w:val="single" w:sz="1" w:color="006699"/>
        <w:insideH w:val="single" w:sz="1" w:color="006699"/>
        <w:insideV w:val="single" w:sz="1" w:color="006699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expan.pro/destination/328" TargetMode="External"/><Relationship Id="rId9" Type="http://schemas.openxmlformats.org/officeDocument/2006/relationships/image" Target="media/section_image2.jpg"/><Relationship Id="rId10" Type="http://schemas.openxmlformats.org/officeDocument/2006/relationships/hyperlink" Target="https://expan.pro//hotel/4291" TargetMode="External"/><Relationship Id="rId11" Type="http://schemas.openxmlformats.org/officeDocument/2006/relationships/image" Target="media/section_image3.jpg"/><Relationship Id="rId12" Type="http://schemas.openxmlformats.org/officeDocument/2006/relationships/hyperlink" Target="https://expan.pro/activity/23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2024-04-18T02:47:50-04:00</dcterms:created>
  <dcterms:modified xsi:type="dcterms:W3CDTF">2024-04-18T02:47:50-04:00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